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180</w:t>
      </w:r>
    </w:p>
    <w:p>
      <w:r>
        <w:t>Bundesgericht (BGE), 1983-07-14, FR</w:t>
      </w:r>
    </w:p>
    <w:p>
      <w:r>
        <w:rPr>
          <w:b/>
        </w:rPr>
        <w:t xml:space="preserve">Quelle: </w:t>
      </w:r>
      <w:r>
        <w:t>https://mcp.opencaselaw.ch/entscheid/bge_109 II 180</w:t>
      </w:r>
    </w:p>
    <w:p>
      <w:r>
        <w:t>FR: ATF 109 II 180</w:t>
      </w:r>
    </w:p>
    <w:p>
      <w:r>
        <w:t>IT: DTF 109 II 180</w:t>
      </w:r>
    </w:p>
    <w:p>
      <w:pPr>
        <w:pStyle w:val="Heading2"/>
      </w:pPr>
      <w:r>
        <w:t>Regeste</w:t>
      </w:r>
    </w:p>
    <w:p>
      <w:r>
        <w:t>Regeste Art. 145 ZGB, 68 Abs. 1 lit. b OG, 8 des Abkommens zwischen der Schweiz und Italien über die Anerkennung und Vollstreckung gerichtlicher Entscheidungen vom 3. Januar 1933. Vorsorgliche Massnahmen des schweizerischen Richters zu einer Scheidungsklage einer italienischen Ehefrau, die ihr schweizerisches Bürgerrecht behalten hat: der Ehemann kann dagegen keine Einrede der Rechtshängigkeit erheben mit der Begründung, dass beim italienischen Richter bereits eine Trennungsklage eingereicht sei. Identische Begehren liegen nicht vor, da sich der Gegenstand der Trennungsklage nach italienischem Recht von jenem der Scheidungsklage gemäss schweizerischem Zivilgesetzbuch unterscheidet.</w:t>
      </w:r>
    </w:p>
    <w:p>
      <w:pPr>
        <w:pStyle w:val="Heading2"/>
      </w:pPr>
      <w:r>
        <w:t>Erwägungen</w:t>
      </w:r>
    </w:p>
    <w:p>
      <w:r>
        <w:rPr>
          <w:b/>
        </w:rPr>
        <w:t>E. 2</w:t>
      </w:r>
    </w:p>
    <w:p>
      <w:r>
        <w:t>Ayant conservé sa nationalité suisse, dame S. peut demander le divorce par application du droit suisse, devant un tribunal suisse, soit celui de son domicile en Suisse, si elle y est domiciliée ( art. 144 CC ), soit devant le juge de son lieu d'origine, si elle est domiciliée à l'étranger ( art. 7g LRDC ). Contrairement à ce que prétend le recourant, l'action en séparation de corps du droit italien n'a pas le même objet que l'action en divorce du Code civil suisse ( art. 137 ss CC ). Certes l'époux demandeur peut, en droit suisse, conclure au divorce ou BGE 109 II 180 S. 183 à la séparation de corps, mais il a le droit de demander d'emblée le divorce. En revanche, le droit italien (art. 3 ch. 2 lettre b de la loi sur le divorce du 1er décembre 1970) n'admet que le divorce soit prononcé qu'après une séparation judiciaire de cinq ans, dans certains cas déterminés de six ou sept ans (cf. ATF 100 II 260 ). Ainsi, s'ils permettent d'obtenir le divorce en Suisse, les faits allégués par la demanderesse ne le permettaient pas en Italie. Le recourant invoque à tort l'art. 8 de la Convention entre la Suisse et l'Italie sur la reconnaissance et l'exécution de décisions judiciaires, du 3 janvier 1933 (RS 0.276.194.541), aux termes duquel les autorités judiciaires de l'un des deux Etats doivent, si l'une des parties le demande, se dessaisir des contestations portées devant elles lorsque ces contestations sont déjà pendantes devant une juridiction de l'autre Etat, pourvu que celle-ci soit compétente selon les règles de la Convention. Dès lors qu'il n'y a pas contestations identiques, le procès en séparation de corps pendant en Italie ne peut pas fonder l'exception de litispendance soulevée à l'encontre de l'action en divorce intentée postérieurement en Suisse ( ATF 65 II 179 ). Le recours se révèle donc mal fondé en tant qu'il conteste la compétence du Tribunal de première instance du canton de Genève pour ordonner des mesures provisoires, pour autant qu'il apparaisse, prima facie, que dame S. était domiciliée à Genève, au sens de l' art. 144 CC , lors de l'ouverture de l'action en divorce. L'intimée, qui a retiré le 28 décembre 1982 l'action en séparation de corps qu'elle avait introduite devant le Tribunal de Messine, est rentrée chez ses parents, à Meyrin, à fin décembre 1982. Elle a ouvert action en divorce le 4 janvier 1983 devant le Tribunal de première instance du canton de Genève, alléguant que son mari la laissait sans argent, qu'il l'avait injuriée, humiliée et même battue, et que c'est à la suite de ces faits qu'elle l'avait quitté pour s'installer en Suisse. Elle apparaissait en droit de se constituer une demeure séparée, en vertu de l' art. 170 CC , applicable dès lors qu'elle est Suissesse ( ATF 83 II 496 consid. 2), et il n'était pas exclu qu'elle se fût constitué un domicile à Genève. Or, dans le cadre de mesures préprovisoires, ou même provisoires, selon l' art. 145 CC , le juge saisi ne peut refuser de statuer que si son incompétence ratione loci paraît manifeste ( ATF 83 II 495 consid. 1 et les références). Le Vice-Président du Tribunal de première instance du canton de Genève n'a donc pas violé les art. 25, 144 et 170 CC , en admettant qu'il était habilité à statuer sur la requête. BGE 109 II 180 S. 184 Le recourant reproche en outre à tort au juge genevois d'avoir violé l' art. 7g LRDC , qui prévoit, à son alinéa premier, que le conjoint suisse habitant l'étranger peut intenter une action en divorce devant le juge de son lieu d'origine. L'intimée a quitté le domicile conjugal en Italie et a ouvert action en divorce devant le juge suisse du lieu où elle s'est établie, savoir le Tribunal de première instance du canton de Genève, puisqu'elle s'est installée à Meyrin. Le juge genevois a estimé qu'il pouvait être compétent selon l' art. 144 CC , en tant que juge du domicile de la demanderesse, et que son incompétence n'apparaissait pas d'emblée manifeste.</w:t>
      </w:r>
    </w:p>
    <w:p>
      <w:r>
        <w:rPr>
          <w:b/>
        </w:rPr>
        <w:t>E. 5</w:t>
      </w:r>
    </w:p>
    <w:p>
      <w:r>
        <w:t>L'exception tirée de la connexité indissoluble entre l'action en divorce ouverte devant un juge suisse et une autre action en divorce ouverte devant un juge étranger, ou encore une action en séparation de corps introduite devant un juge étranger, mais qui peut être saisi de conclusions reconventionnelles en divorce, connexité qui fonde un for unique et exclusif au lieu du juge premier saisi, ne peut pas être soulevée, ni admise, en l'espèce, quand bien même elle vaut aussi en matière internationale ( ATF 91 II 322 ss). Il ne peut y avoir en Italie un for unique et exclusif de la connexité, auquel pourraient être portées les deux actions, soit l'action en séparation de corps, selon le droit italien, et l'action en divorce, selon le droit suisse, puisque le droit italien n'admet le divorce d'époux italiens qu'après une séparation judiciaire ayant duré plusieurs années. Dame S. ne pourrait ainsi pas exercer devant le juge italien l'action en divorce dont elle a saisi le Tribunal de première instance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